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D6EB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1. Представитель медицинской организации, уполномоченный в соответствии с законодательство м Российской Федерации, для получения необходимых компонентов крови прибывает в экспедицию с круглосуточным режимом работы;</w:t>
      </w:r>
    </w:p>
    <w:p w14:paraId="17C7C672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2. Медицинская организация ежегодно заключает договор на получение компонентов крови и предоставляет    копию лицензии на вид медицинской деятельности «Трансфузиология».</w:t>
      </w:r>
    </w:p>
    <w:p w14:paraId="6614CB6B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3. Для получения компонентов крови представитель медицинской организации предъявляет ряд документов:</w:t>
      </w:r>
    </w:p>
    <w:p w14:paraId="46CCB711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Доверенность медицинской организации о возложении обязанностей по транспортировке компонентов крови на должностное лицо;</w:t>
      </w:r>
    </w:p>
    <w:p w14:paraId="3697CFEF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Удостоверение личности (паспорт);</w:t>
      </w:r>
    </w:p>
    <w:p w14:paraId="7910C59C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Заявку на компоненты крови (по наименованиям, количеству, сведениях о реципиенте (-ах) или о необходимости пополнения запаса компонентов крови);</w:t>
      </w:r>
    </w:p>
    <w:p w14:paraId="1379DDF2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4. При получении запрашиваемых компонентов крови выполняются требования:</w:t>
      </w:r>
    </w:p>
    <w:p w14:paraId="45445286" w14:textId="77777777" w:rsid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>Сверка получаемых компонентов крови с накладной продукции;</w:t>
      </w:r>
    </w:p>
    <w:p w14:paraId="3FDBCA73" w14:textId="380DFA51" w:rsidR="00DC3F6B" w:rsidRPr="00AA372C" w:rsidRDefault="00AA372C" w:rsidP="00AA372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72833"/>
        </w:rPr>
      </w:pPr>
      <w:r>
        <w:rPr>
          <w:rFonts w:ascii="Segoe UI" w:hAnsi="Segoe UI" w:cs="Segoe UI"/>
          <w:color w:val="272833"/>
        </w:rPr>
        <w:t xml:space="preserve">Размещение компонентов крови с различным режимом транспортировки в разные транспортные контейнеры (сумки-холодильники), имеющие термометры с диапазоном температур и </w:t>
      </w:r>
      <w:proofErr w:type="spellStart"/>
      <w:r>
        <w:rPr>
          <w:rFonts w:ascii="Segoe UI" w:hAnsi="Segoe UI" w:cs="Segoe UI"/>
          <w:color w:val="272833"/>
        </w:rPr>
        <w:t>хладоэлементы</w:t>
      </w:r>
      <w:proofErr w:type="spellEnd"/>
      <w:r>
        <w:rPr>
          <w:rFonts w:ascii="Segoe UI" w:hAnsi="Segoe UI" w:cs="Segoe UI"/>
          <w:color w:val="272833"/>
        </w:rPr>
        <w:t>, в соответствии с требованиями.</w:t>
      </w:r>
    </w:p>
    <w:sectPr w:rsidR="00DC3F6B" w:rsidRPr="00AA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AA372C"/>
    <w:rsid w:val="00D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885B"/>
  <w15:chartTrackingRefBased/>
  <w15:docId w15:val="{E1F42AAB-1E24-4ADB-8448-AE0EF87F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2021-08-11T13:49:00Z</dcterms:created>
  <dcterms:modified xsi:type="dcterms:W3CDTF">2021-08-11T13:50:00Z</dcterms:modified>
</cp:coreProperties>
</file>